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F4289D">
      <w:pPr>
        <w:spacing w:before="0" w:after="240"/>
        <w:ind w:left="567"/>
      </w:pPr>
      <w:r>
        <w:rPr>
          <w:noProof/>
        </w:rPr>
        <w:drawing>
          <wp:inline distT="0" distB="0" distL="0" distR="0" wp14:anchorId="21C4285B" wp14:editId="7D4CE786">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1B5746" w:rsidRDefault="00444F9F" w:rsidP="00F24831">
      <w:pPr>
        <w:pStyle w:val="Title"/>
        <w:spacing w:before="240" w:after="120"/>
        <w:ind w:left="567"/>
        <w:rPr>
          <w:rFonts w:asciiTheme="minorHAnsi" w:hAnsiTheme="minorHAnsi" w:cstheme="minorHAnsi"/>
        </w:rPr>
      </w:pPr>
      <w:r w:rsidRPr="001B5746">
        <w:rPr>
          <w:rFonts w:asciiTheme="minorHAnsi" w:hAnsiTheme="minorHAnsi" w:cstheme="minorHAnsi"/>
        </w:rPr>
        <w:t>Settlement Report</w:t>
      </w:r>
      <w:r w:rsidR="002F1729" w:rsidRPr="001B5746">
        <w:rPr>
          <w:rFonts w:asciiTheme="minorHAnsi" w:hAnsiTheme="minorHAnsi" w:cstheme="minorHAnsi"/>
        </w:rPr>
        <w:t xml:space="preserve"> </w:t>
      </w:r>
    </w:p>
    <w:p w:rsidR="00C645F7" w:rsidRPr="001B5746" w:rsidRDefault="00BB23BB" w:rsidP="00F24831">
      <w:pPr>
        <w:pStyle w:val="Subtitle"/>
        <w:spacing w:before="240" w:after="120"/>
        <w:ind w:left="567"/>
        <w:rPr>
          <w:rFonts w:asciiTheme="minorHAnsi" w:hAnsiTheme="minorHAnsi" w:cstheme="minorHAnsi"/>
        </w:rPr>
      </w:pPr>
      <w:r w:rsidRPr="001B5746">
        <w:rPr>
          <w:rFonts w:asciiTheme="minorHAnsi" w:hAnsiTheme="minorHAnsi" w:cstheme="minorHAnsi"/>
        </w:rPr>
        <w:t xml:space="preserve">Top </w:t>
      </w:r>
      <w:r w:rsidR="00F24831">
        <w:rPr>
          <w:rFonts w:asciiTheme="minorHAnsi" w:hAnsiTheme="minorHAnsi" w:cstheme="minorHAnsi"/>
        </w:rPr>
        <w:t>10</w:t>
      </w:r>
      <w:r w:rsidRPr="001B5746">
        <w:rPr>
          <w:rFonts w:asciiTheme="minorHAnsi" w:hAnsiTheme="minorHAnsi" w:cstheme="minorHAnsi"/>
        </w:rPr>
        <w:t xml:space="preserve"> Countries of Birth </w:t>
      </w:r>
      <w:r w:rsidR="002E256A">
        <w:rPr>
          <w:rFonts w:asciiTheme="minorHAnsi" w:hAnsiTheme="minorHAnsi" w:cstheme="minorHAnsi"/>
        </w:rPr>
        <w:t>of Permanent Settlers (All Streams)</w:t>
      </w:r>
    </w:p>
    <w:p w:rsidR="001B3538" w:rsidRPr="008B753D" w:rsidRDefault="001B3538" w:rsidP="00F24831">
      <w:pPr>
        <w:spacing w:before="240" w:line="240" w:lineRule="auto"/>
        <w:ind w:left="567"/>
        <w:rPr>
          <w:rFonts w:asciiTheme="minorHAnsi" w:hAnsiTheme="minorHAnsi" w:cstheme="minorHAnsi"/>
          <w:sz w:val="21"/>
          <w:szCs w:val="21"/>
        </w:rPr>
      </w:pPr>
      <w:r w:rsidRPr="001B5746">
        <w:rPr>
          <w:rFonts w:asciiTheme="minorHAnsi" w:hAnsiTheme="minorHAnsi" w:cstheme="minorHAnsi"/>
          <w:sz w:val="21"/>
          <w:szCs w:val="21"/>
        </w:rPr>
        <w:t>This t</w:t>
      </w:r>
      <w:r w:rsidR="00EE301A" w:rsidRPr="001B5746">
        <w:rPr>
          <w:rFonts w:asciiTheme="minorHAnsi" w:hAnsiTheme="minorHAnsi" w:cstheme="minorHAnsi"/>
          <w:sz w:val="21"/>
          <w:szCs w:val="21"/>
        </w:rPr>
        <w:t>abl</w:t>
      </w:r>
      <w:r w:rsidR="00A62946" w:rsidRPr="001B5746">
        <w:rPr>
          <w:rFonts w:asciiTheme="minorHAnsi" w:hAnsiTheme="minorHAnsi" w:cstheme="minorHAnsi"/>
          <w:sz w:val="21"/>
          <w:szCs w:val="21"/>
        </w:rPr>
        <w:t>e covers the Settlement Date</w:t>
      </w:r>
      <w:r w:rsidR="00A62946" w:rsidRPr="001B5746">
        <w:rPr>
          <w:rStyle w:val="FootnoteReference"/>
          <w:rFonts w:asciiTheme="minorHAnsi" w:hAnsiTheme="minorHAnsi" w:cstheme="minorHAnsi"/>
          <w:sz w:val="21"/>
          <w:szCs w:val="21"/>
        </w:rPr>
        <w:footnoteReference w:id="1"/>
      </w:r>
      <w:r w:rsidR="00E3072A" w:rsidRPr="001B5746">
        <w:rPr>
          <w:rFonts w:asciiTheme="minorHAnsi" w:hAnsiTheme="minorHAnsi" w:cstheme="minorHAnsi"/>
          <w:sz w:val="21"/>
          <w:szCs w:val="21"/>
        </w:rPr>
        <w:t xml:space="preserve"> </w:t>
      </w:r>
      <w:r w:rsidR="00620940" w:rsidRPr="001B5746">
        <w:rPr>
          <w:rFonts w:asciiTheme="minorHAnsi" w:hAnsiTheme="minorHAnsi" w:cstheme="minorHAnsi"/>
          <w:sz w:val="21"/>
          <w:szCs w:val="21"/>
        </w:rPr>
        <w:t xml:space="preserve"> rang</w:t>
      </w:r>
      <w:bookmarkStart w:id="0" w:name="_GoBack"/>
      <w:bookmarkEnd w:id="0"/>
      <w:r w:rsidR="00620940" w:rsidRPr="001B5746">
        <w:rPr>
          <w:rFonts w:asciiTheme="minorHAnsi" w:hAnsiTheme="minorHAnsi" w:cstheme="minorHAnsi"/>
          <w:sz w:val="21"/>
          <w:szCs w:val="21"/>
        </w:rPr>
        <w:t xml:space="preserve">e from </w:t>
      </w:r>
      <w:r w:rsidR="0082755A" w:rsidRPr="00075BB3">
        <w:rPr>
          <w:rFonts w:asciiTheme="minorHAnsi" w:hAnsiTheme="minorHAnsi" w:cstheme="minorHAnsi"/>
          <w:b/>
          <w:sz w:val="22"/>
          <w:szCs w:val="22"/>
        </w:rPr>
        <w:t xml:space="preserve">1 </w:t>
      </w:r>
      <w:r w:rsidR="00C05B6E">
        <w:rPr>
          <w:rFonts w:asciiTheme="minorHAnsi" w:hAnsiTheme="minorHAnsi" w:cstheme="minorHAnsi"/>
          <w:b/>
          <w:sz w:val="22"/>
          <w:szCs w:val="22"/>
        </w:rPr>
        <w:t xml:space="preserve">October </w:t>
      </w:r>
      <w:r w:rsidR="0082755A" w:rsidRPr="00075BB3">
        <w:rPr>
          <w:rFonts w:asciiTheme="minorHAnsi" w:hAnsiTheme="minorHAnsi" w:cstheme="minorHAnsi"/>
          <w:b/>
          <w:sz w:val="22"/>
          <w:szCs w:val="22"/>
        </w:rPr>
        <w:t xml:space="preserve">2015 to 4 </w:t>
      </w:r>
      <w:r w:rsidR="00C05B6E">
        <w:rPr>
          <w:rFonts w:asciiTheme="minorHAnsi" w:hAnsiTheme="minorHAnsi" w:cstheme="minorHAnsi"/>
          <w:b/>
          <w:sz w:val="22"/>
          <w:szCs w:val="22"/>
        </w:rPr>
        <w:t>October</w:t>
      </w:r>
      <w:r w:rsidR="0082755A" w:rsidRPr="00075BB3">
        <w:rPr>
          <w:rFonts w:asciiTheme="minorHAnsi" w:hAnsiTheme="minorHAnsi" w:cstheme="minorHAnsi"/>
          <w:b/>
          <w:sz w:val="22"/>
          <w:szCs w:val="22"/>
        </w:rPr>
        <w:t xml:space="preserve"> 2016.</w:t>
      </w:r>
    </w:p>
    <w:p w:rsidR="00314F1C" w:rsidRPr="001B5746" w:rsidRDefault="001B3538" w:rsidP="008D07CB">
      <w:pPr>
        <w:spacing w:line="240" w:lineRule="auto"/>
        <w:ind w:left="567"/>
        <w:rPr>
          <w:rFonts w:asciiTheme="minorHAnsi" w:hAnsiTheme="minorHAnsi" w:cstheme="minorHAnsi"/>
          <w:sz w:val="21"/>
          <w:szCs w:val="21"/>
        </w:rPr>
      </w:pPr>
      <w:r w:rsidRPr="001B5746">
        <w:rPr>
          <w:rFonts w:asciiTheme="minorHAnsi" w:hAnsiTheme="minorHAnsi" w:cstheme="minorHAnsi"/>
          <w:sz w:val="21"/>
          <w:szCs w:val="21"/>
        </w:rPr>
        <w:t>You should note and take into account the matters identified as caveats to thi</w:t>
      </w:r>
      <w:r w:rsidR="008D07CB" w:rsidRPr="001B5746">
        <w:rPr>
          <w:rFonts w:asciiTheme="minorHAnsi" w:hAnsiTheme="minorHAnsi" w:cstheme="minorHAnsi"/>
          <w:sz w:val="21"/>
          <w:szCs w:val="21"/>
        </w:rPr>
        <w:t xml:space="preserve">s data (refer to separate page). </w:t>
      </w:r>
    </w:p>
    <w:p w:rsidR="001B5746" w:rsidRDefault="001B5746" w:rsidP="008D07CB">
      <w:pPr>
        <w:spacing w:line="240" w:lineRule="auto"/>
        <w:ind w:left="567"/>
        <w:rPr>
          <w:rFonts w:asciiTheme="majorHAnsi" w:hAnsiTheme="majorHAnsi"/>
        </w:rPr>
      </w:pPr>
    </w:p>
    <w:tbl>
      <w:tblPr>
        <w:tblW w:w="1000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525"/>
        <w:gridCol w:w="1559"/>
        <w:gridCol w:w="1452"/>
        <w:gridCol w:w="1701"/>
        <w:gridCol w:w="1639"/>
      </w:tblGrid>
      <w:tr w:rsidR="00F83ED3" w:rsidRPr="00BC6437" w:rsidTr="00F83ED3">
        <w:trPr>
          <w:trHeight w:val="484"/>
          <w:jc w:val="center"/>
        </w:trPr>
        <w:tc>
          <w:tcPr>
            <w:tcW w:w="2127" w:type="dxa"/>
            <w:vMerge w:val="restart"/>
            <w:shd w:val="clear" w:color="auto" w:fill="F2F2F2" w:themeFill="background1" w:themeFillShade="F2"/>
            <w:noWrap/>
            <w:vAlign w:val="center"/>
            <w:hideMark/>
          </w:tcPr>
          <w:p w:rsidR="00F83ED3" w:rsidRPr="00FA1C67" w:rsidRDefault="00F83ED3" w:rsidP="00AF7853">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Country of Birth</w:t>
            </w:r>
          </w:p>
        </w:tc>
        <w:tc>
          <w:tcPr>
            <w:tcW w:w="4536" w:type="dxa"/>
            <w:gridSpan w:val="3"/>
            <w:shd w:val="clear" w:color="auto" w:fill="F2F2F2" w:themeFill="background1" w:themeFillShade="F2"/>
            <w:noWrap/>
            <w:vAlign w:val="center"/>
            <w:hideMark/>
          </w:tcPr>
          <w:p w:rsidR="00F83ED3" w:rsidRPr="00FA1C67" w:rsidRDefault="00F83ED3" w:rsidP="00A415E5">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F83ED3" w:rsidRPr="00FA1C67" w:rsidRDefault="00F83ED3" w:rsidP="00A415E5">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 xml:space="preserve">Grand </w:t>
            </w:r>
            <w:r w:rsidRPr="00FA1C67">
              <w:rPr>
                <w:rFonts w:asciiTheme="minorHAnsi" w:hAnsiTheme="minorHAnsi" w:cstheme="minorHAnsi"/>
                <w:bCs/>
                <w:color w:val="000000"/>
                <w:sz w:val="22"/>
                <w:szCs w:val="22"/>
              </w:rPr>
              <w:br/>
              <w:t>Total</w:t>
            </w:r>
          </w:p>
        </w:tc>
        <w:tc>
          <w:tcPr>
            <w:tcW w:w="1639" w:type="dxa"/>
            <w:vMerge w:val="restart"/>
            <w:shd w:val="clear" w:color="auto" w:fill="F2F2F2" w:themeFill="background1" w:themeFillShade="F2"/>
            <w:vAlign w:val="center"/>
          </w:tcPr>
          <w:p w:rsidR="00F83ED3" w:rsidRPr="00F83ED3" w:rsidRDefault="00F83ED3" w:rsidP="00AF7853">
            <w:pPr>
              <w:spacing w:before="0" w:after="0" w:line="240" w:lineRule="auto"/>
              <w:jc w:val="center"/>
              <w:rPr>
                <w:rFonts w:asciiTheme="minorHAnsi" w:hAnsiTheme="minorHAnsi" w:cstheme="minorHAnsi"/>
                <w:bCs/>
                <w:color w:val="000000"/>
                <w:sz w:val="22"/>
                <w:szCs w:val="22"/>
              </w:rPr>
            </w:pPr>
            <w:r w:rsidRPr="00F83ED3">
              <w:rPr>
                <w:rFonts w:asciiTheme="minorHAnsi" w:hAnsiTheme="minorHAnsi" w:cstheme="minorHAnsi"/>
                <w:bCs/>
                <w:color w:val="000000"/>
                <w:sz w:val="22"/>
                <w:szCs w:val="22"/>
              </w:rPr>
              <w:t xml:space="preserve">% </w:t>
            </w:r>
            <w:r w:rsidR="00AF7853">
              <w:rPr>
                <w:rFonts w:asciiTheme="minorHAnsi" w:hAnsiTheme="minorHAnsi" w:cstheme="minorHAnsi"/>
                <w:bCs/>
                <w:color w:val="000000"/>
                <w:sz w:val="22"/>
                <w:szCs w:val="22"/>
              </w:rPr>
              <w:t>of Total</w:t>
            </w:r>
          </w:p>
        </w:tc>
      </w:tr>
      <w:tr w:rsidR="00F83ED3" w:rsidRPr="00BC6437" w:rsidTr="00F83ED3">
        <w:trPr>
          <w:trHeight w:val="315"/>
          <w:jc w:val="center"/>
        </w:trPr>
        <w:tc>
          <w:tcPr>
            <w:tcW w:w="2127" w:type="dxa"/>
            <w:vMerge/>
            <w:vAlign w:val="center"/>
            <w:hideMark/>
          </w:tcPr>
          <w:p w:rsidR="00F83ED3" w:rsidRPr="00FA1C67" w:rsidRDefault="00F83ED3" w:rsidP="00A415E5">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hideMark/>
          </w:tcPr>
          <w:p w:rsidR="00F83ED3" w:rsidRPr="00FA1C67" w:rsidRDefault="00F83ED3" w:rsidP="00A415E5">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Humanitarian</w:t>
            </w:r>
          </w:p>
        </w:tc>
        <w:tc>
          <w:tcPr>
            <w:tcW w:w="1559" w:type="dxa"/>
            <w:shd w:val="clear" w:color="auto" w:fill="F2F2F2" w:themeFill="background1" w:themeFillShade="F2"/>
            <w:noWrap/>
            <w:vAlign w:val="bottom"/>
            <w:hideMark/>
          </w:tcPr>
          <w:p w:rsidR="00F83ED3" w:rsidRPr="00FA1C67" w:rsidRDefault="00F83ED3" w:rsidP="00A415E5">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Family</w:t>
            </w:r>
          </w:p>
        </w:tc>
        <w:tc>
          <w:tcPr>
            <w:tcW w:w="1452" w:type="dxa"/>
            <w:shd w:val="clear" w:color="auto" w:fill="F2F2F2" w:themeFill="background1" w:themeFillShade="F2"/>
            <w:noWrap/>
            <w:vAlign w:val="bottom"/>
            <w:hideMark/>
          </w:tcPr>
          <w:p w:rsidR="00F83ED3" w:rsidRPr="00FA1C67" w:rsidRDefault="00F83ED3" w:rsidP="00A415E5">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Skilled</w:t>
            </w:r>
          </w:p>
        </w:tc>
        <w:tc>
          <w:tcPr>
            <w:tcW w:w="1701" w:type="dxa"/>
            <w:vMerge/>
            <w:vAlign w:val="center"/>
            <w:hideMark/>
          </w:tcPr>
          <w:p w:rsidR="00F83ED3" w:rsidRPr="00FA1C67" w:rsidRDefault="00F83ED3" w:rsidP="00A415E5">
            <w:pPr>
              <w:spacing w:before="0" w:after="0" w:line="240" w:lineRule="auto"/>
              <w:rPr>
                <w:rFonts w:asciiTheme="minorHAnsi" w:hAnsiTheme="minorHAnsi" w:cstheme="minorHAnsi"/>
                <w:b/>
                <w:bCs/>
                <w:color w:val="000000"/>
                <w:sz w:val="22"/>
                <w:szCs w:val="22"/>
              </w:rPr>
            </w:pPr>
          </w:p>
        </w:tc>
        <w:tc>
          <w:tcPr>
            <w:tcW w:w="1639" w:type="dxa"/>
            <w:vMerge/>
            <w:vAlign w:val="center"/>
          </w:tcPr>
          <w:p w:rsidR="00F83ED3" w:rsidRPr="00F83ED3" w:rsidRDefault="00F83ED3" w:rsidP="00F83ED3">
            <w:pPr>
              <w:spacing w:before="0" w:after="0" w:line="240" w:lineRule="auto"/>
              <w:jc w:val="center"/>
              <w:rPr>
                <w:rFonts w:asciiTheme="minorHAnsi" w:hAnsiTheme="minorHAnsi" w:cstheme="minorHAnsi"/>
                <w:b/>
                <w:bCs/>
                <w:color w:val="000000"/>
                <w:sz w:val="22"/>
                <w:szCs w:val="22"/>
              </w:rPr>
            </w:pP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India</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177</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9,646</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36,529</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46,352</w:t>
            </w:r>
          </w:p>
        </w:tc>
        <w:tc>
          <w:tcPr>
            <w:tcW w:w="1639" w:type="dxa"/>
            <w:vAlign w:val="center"/>
          </w:tcPr>
          <w:p w:rsidR="00F83ED3" w:rsidRPr="00F83ED3" w:rsidRDefault="00F83ED3" w:rsidP="00F83ED3">
            <w:pPr>
              <w:jc w:val="center"/>
              <w:rPr>
                <w:sz w:val="22"/>
                <w:szCs w:val="22"/>
              </w:rPr>
            </w:pPr>
            <w:r w:rsidRPr="00F83ED3">
              <w:rPr>
                <w:sz w:val="22"/>
                <w:szCs w:val="22"/>
              </w:rPr>
              <w:t>18.2%</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China Peoples Rep</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100</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14,716</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22,131</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36,947</w:t>
            </w:r>
          </w:p>
        </w:tc>
        <w:tc>
          <w:tcPr>
            <w:tcW w:w="1639" w:type="dxa"/>
            <w:vAlign w:val="center"/>
          </w:tcPr>
          <w:p w:rsidR="00F83ED3" w:rsidRPr="00F83ED3" w:rsidRDefault="00F83ED3" w:rsidP="00F83ED3">
            <w:pPr>
              <w:jc w:val="center"/>
              <w:rPr>
                <w:sz w:val="22"/>
                <w:szCs w:val="22"/>
              </w:rPr>
            </w:pPr>
            <w:r w:rsidRPr="00F83ED3">
              <w:rPr>
                <w:sz w:val="22"/>
                <w:szCs w:val="22"/>
              </w:rPr>
              <w:t>14.5%</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Philippines</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5</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6,590</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8,192</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14,785</w:t>
            </w:r>
          </w:p>
        </w:tc>
        <w:tc>
          <w:tcPr>
            <w:tcW w:w="1639" w:type="dxa"/>
            <w:vAlign w:val="center"/>
          </w:tcPr>
          <w:p w:rsidR="00F83ED3" w:rsidRPr="00F83ED3" w:rsidRDefault="00F83ED3" w:rsidP="00F83ED3">
            <w:pPr>
              <w:jc w:val="center"/>
              <w:rPr>
                <w:sz w:val="22"/>
                <w:szCs w:val="22"/>
              </w:rPr>
            </w:pPr>
            <w:r w:rsidRPr="00F83ED3">
              <w:rPr>
                <w:sz w:val="22"/>
                <w:szCs w:val="22"/>
              </w:rPr>
              <w:t>5.8%</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United Kingdom</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7</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4,830</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8,791</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13,628</w:t>
            </w:r>
          </w:p>
        </w:tc>
        <w:tc>
          <w:tcPr>
            <w:tcW w:w="1639" w:type="dxa"/>
            <w:vAlign w:val="center"/>
          </w:tcPr>
          <w:p w:rsidR="00F83ED3" w:rsidRPr="00F83ED3" w:rsidRDefault="00F83ED3" w:rsidP="00F83ED3">
            <w:pPr>
              <w:jc w:val="center"/>
              <w:rPr>
                <w:sz w:val="22"/>
                <w:szCs w:val="22"/>
              </w:rPr>
            </w:pPr>
            <w:r w:rsidRPr="00F83ED3">
              <w:rPr>
                <w:sz w:val="22"/>
                <w:szCs w:val="22"/>
              </w:rPr>
              <w:t>5.4%</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Vietnam</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5</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6,022</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2,601</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8,627</w:t>
            </w:r>
          </w:p>
        </w:tc>
        <w:tc>
          <w:tcPr>
            <w:tcW w:w="1639" w:type="dxa"/>
            <w:vAlign w:val="center"/>
          </w:tcPr>
          <w:p w:rsidR="00F83ED3" w:rsidRPr="00F83ED3" w:rsidRDefault="00F83ED3" w:rsidP="00F83ED3">
            <w:pPr>
              <w:jc w:val="center"/>
              <w:rPr>
                <w:sz w:val="22"/>
                <w:szCs w:val="22"/>
              </w:rPr>
            </w:pPr>
            <w:r w:rsidRPr="00F83ED3">
              <w:rPr>
                <w:sz w:val="22"/>
                <w:szCs w:val="22"/>
              </w:rPr>
              <w:t>3.4%</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Pakistan</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409</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1,643</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6,541</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8,593</w:t>
            </w:r>
          </w:p>
        </w:tc>
        <w:tc>
          <w:tcPr>
            <w:tcW w:w="1639" w:type="dxa"/>
            <w:vAlign w:val="center"/>
          </w:tcPr>
          <w:p w:rsidR="00F83ED3" w:rsidRPr="00F83ED3" w:rsidRDefault="00F83ED3" w:rsidP="00F83ED3">
            <w:pPr>
              <w:jc w:val="center"/>
              <w:rPr>
                <w:sz w:val="22"/>
                <w:szCs w:val="22"/>
              </w:rPr>
            </w:pPr>
            <w:r w:rsidRPr="00F83ED3">
              <w:rPr>
                <w:sz w:val="22"/>
                <w:szCs w:val="22"/>
              </w:rPr>
              <w:t>3.4%</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Nepal</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277</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981</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6,801</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8,059</w:t>
            </w:r>
          </w:p>
        </w:tc>
        <w:tc>
          <w:tcPr>
            <w:tcW w:w="1639" w:type="dxa"/>
            <w:vAlign w:val="center"/>
          </w:tcPr>
          <w:p w:rsidR="00F83ED3" w:rsidRPr="00F83ED3" w:rsidRDefault="00F83ED3" w:rsidP="00F83ED3">
            <w:pPr>
              <w:jc w:val="center"/>
              <w:rPr>
                <w:sz w:val="22"/>
                <w:szCs w:val="22"/>
              </w:rPr>
            </w:pPr>
            <w:r w:rsidRPr="00F83ED3">
              <w:rPr>
                <w:sz w:val="22"/>
                <w:szCs w:val="22"/>
              </w:rPr>
              <w:t>3.2%</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Iraq</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5,335</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598</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86</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6,019</w:t>
            </w:r>
          </w:p>
        </w:tc>
        <w:tc>
          <w:tcPr>
            <w:tcW w:w="1639" w:type="dxa"/>
            <w:vAlign w:val="center"/>
          </w:tcPr>
          <w:p w:rsidR="00F83ED3" w:rsidRPr="00F83ED3" w:rsidRDefault="00F83ED3" w:rsidP="00F83ED3">
            <w:pPr>
              <w:jc w:val="center"/>
              <w:rPr>
                <w:sz w:val="22"/>
                <w:szCs w:val="22"/>
              </w:rPr>
            </w:pPr>
            <w:r w:rsidRPr="00F83ED3">
              <w:rPr>
                <w:sz w:val="22"/>
                <w:szCs w:val="22"/>
              </w:rPr>
              <w:t>2.4%</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Australia</w:t>
            </w:r>
            <w:r>
              <w:rPr>
                <w:rStyle w:val="FootnoteReference"/>
                <w:sz w:val="22"/>
                <w:szCs w:val="22"/>
              </w:rPr>
              <w:footnoteReference w:id="2"/>
            </w:r>
          </w:p>
        </w:tc>
        <w:tc>
          <w:tcPr>
            <w:tcW w:w="1525" w:type="dxa"/>
            <w:shd w:val="clear" w:color="auto" w:fill="auto"/>
            <w:noWrap/>
          </w:tcPr>
          <w:p w:rsidR="00F83ED3" w:rsidRPr="00C05B6E" w:rsidRDefault="00F83ED3" w:rsidP="00C05B6E">
            <w:pPr>
              <w:jc w:val="center"/>
              <w:rPr>
                <w:sz w:val="22"/>
                <w:szCs w:val="22"/>
              </w:rPr>
            </w:pPr>
            <w:r w:rsidRPr="00C05B6E">
              <w:rPr>
                <w:sz w:val="22"/>
                <w:szCs w:val="22"/>
              </w:rPr>
              <w:t>199</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125</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5,635</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5,959</w:t>
            </w:r>
          </w:p>
        </w:tc>
        <w:tc>
          <w:tcPr>
            <w:tcW w:w="1639" w:type="dxa"/>
            <w:vAlign w:val="center"/>
          </w:tcPr>
          <w:p w:rsidR="00F83ED3" w:rsidRPr="00F83ED3" w:rsidRDefault="00F83ED3" w:rsidP="00F83ED3">
            <w:pPr>
              <w:jc w:val="center"/>
              <w:rPr>
                <w:sz w:val="22"/>
                <w:szCs w:val="22"/>
              </w:rPr>
            </w:pPr>
            <w:r w:rsidRPr="00F83ED3">
              <w:rPr>
                <w:sz w:val="22"/>
                <w:szCs w:val="22"/>
              </w:rPr>
              <w:t>2.3%</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sidRPr="00C05B6E">
              <w:rPr>
                <w:sz w:val="22"/>
                <w:szCs w:val="22"/>
              </w:rPr>
              <w:t>Syria</w:t>
            </w:r>
          </w:p>
        </w:tc>
        <w:tc>
          <w:tcPr>
            <w:tcW w:w="1525" w:type="dxa"/>
            <w:shd w:val="clear" w:color="auto" w:fill="auto"/>
            <w:noWrap/>
          </w:tcPr>
          <w:p w:rsidR="00F83ED3" w:rsidRPr="00C05B6E" w:rsidRDefault="00F83ED3" w:rsidP="00C05B6E">
            <w:pPr>
              <w:jc w:val="center"/>
              <w:rPr>
                <w:sz w:val="22"/>
                <w:szCs w:val="22"/>
              </w:rPr>
            </w:pPr>
            <w:r w:rsidRPr="00C05B6E">
              <w:rPr>
                <w:sz w:val="22"/>
                <w:szCs w:val="22"/>
              </w:rPr>
              <w:t>4,821</w:t>
            </w:r>
          </w:p>
        </w:tc>
        <w:tc>
          <w:tcPr>
            <w:tcW w:w="1559" w:type="dxa"/>
            <w:shd w:val="clear" w:color="auto" w:fill="auto"/>
            <w:noWrap/>
          </w:tcPr>
          <w:p w:rsidR="00F83ED3" w:rsidRPr="00C05B6E" w:rsidRDefault="00F83ED3" w:rsidP="00C05B6E">
            <w:pPr>
              <w:jc w:val="center"/>
              <w:rPr>
                <w:sz w:val="22"/>
                <w:szCs w:val="22"/>
              </w:rPr>
            </w:pPr>
            <w:r w:rsidRPr="00C05B6E">
              <w:rPr>
                <w:sz w:val="22"/>
                <w:szCs w:val="22"/>
              </w:rPr>
              <w:t>271</w:t>
            </w:r>
          </w:p>
        </w:tc>
        <w:tc>
          <w:tcPr>
            <w:tcW w:w="1452" w:type="dxa"/>
            <w:shd w:val="clear" w:color="auto" w:fill="auto"/>
            <w:noWrap/>
          </w:tcPr>
          <w:p w:rsidR="00F83ED3" w:rsidRPr="00C05B6E" w:rsidRDefault="00F83ED3" w:rsidP="00C05B6E">
            <w:pPr>
              <w:jc w:val="center"/>
              <w:rPr>
                <w:sz w:val="22"/>
                <w:szCs w:val="22"/>
              </w:rPr>
            </w:pPr>
            <w:r w:rsidRPr="00C05B6E">
              <w:rPr>
                <w:sz w:val="22"/>
                <w:szCs w:val="22"/>
              </w:rPr>
              <w:t>108</w:t>
            </w:r>
          </w:p>
        </w:tc>
        <w:tc>
          <w:tcPr>
            <w:tcW w:w="1701" w:type="dxa"/>
            <w:shd w:val="clear" w:color="auto" w:fill="auto"/>
            <w:noWrap/>
          </w:tcPr>
          <w:p w:rsidR="00F83ED3" w:rsidRPr="00C05B6E" w:rsidRDefault="00F83ED3" w:rsidP="00C05B6E">
            <w:pPr>
              <w:jc w:val="center"/>
              <w:rPr>
                <w:sz w:val="22"/>
                <w:szCs w:val="22"/>
              </w:rPr>
            </w:pPr>
            <w:r w:rsidRPr="00C05B6E">
              <w:rPr>
                <w:sz w:val="22"/>
                <w:szCs w:val="22"/>
              </w:rPr>
              <w:t>5,200</w:t>
            </w:r>
          </w:p>
        </w:tc>
        <w:tc>
          <w:tcPr>
            <w:tcW w:w="1639" w:type="dxa"/>
            <w:vAlign w:val="center"/>
          </w:tcPr>
          <w:p w:rsidR="00F83ED3" w:rsidRPr="00F83ED3" w:rsidRDefault="00F83ED3" w:rsidP="00F83ED3">
            <w:pPr>
              <w:jc w:val="center"/>
              <w:rPr>
                <w:sz w:val="22"/>
                <w:szCs w:val="22"/>
              </w:rPr>
            </w:pPr>
            <w:r w:rsidRPr="00F83ED3">
              <w:rPr>
                <w:sz w:val="22"/>
                <w:szCs w:val="22"/>
              </w:rPr>
              <w:t>2.0%</w:t>
            </w:r>
          </w:p>
        </w:tc>
      </w:tr>
      <w:tr w:rsidR="00F83ED3" w:rsidRPr="00BC6437" w:rsidTr="00F83ED3">
        <w:trPr>
          <w:trHeight w:val="300"/>
          <w:jc w:val="center"/>
        </w:trPr>
        <w:tc>
          <w:tcPr>
            <w:tcW w:w="2127" w:type="dxa"/>
            <w:shd w:val="clear" w:color="auto" w:fill="auto"/>
            <w:noWrap/>
          </w:tcPr>
          <w:p w:rsidR="00F83ED3" w:rsidRPr="00C05B6E" w:rsidRDefault="00F83ED3" w:rsidP="009B2739">
            <w:pPr>
              <w:rPr>
                <w:sz w:val="22"/>
                <w:szCs w:val="22"/>
              </w:rPr>
            </w:pPr>
            <w:r>
              <w:rPr>
                <w:sz w:val="22"/>
                <w:szCs w:val="22"/>
              </w:rPr>
              <w:t>Other</w:t>
            </w:r>
          </w:p>
        </w:tc>
        <w:tc>
          <w:tcPr>
            <w:tcW w:w="1525" w:type="dxa"/>
            <w:shd w:val="clear" w:color="auto" w:fill="auto"/>
            <w:noWrap/>
          </w:tcPr>
          <w:p w:rsidR="00F83ED3" w:rsidRPr="00C05B6E" w:rsidRDefault="00F83ED3" w:rsidP="00215A91">
            <w:pPr>
              <w:jc w:val="center"/>
              <w:rPr>
                <w:sz w:val="22"/>
                <w:szCs w:val="22"/>
              </w:rPr>
            </w:pPr>
            <w:r>
              <w:rPr>
                <w:sz w:val="22"/>
                <w:szCs w:val="22"/>
              </w:rPr>
              <w:t>7,734</w:t>
            </w:r>
          </w:p>
        </w:tc>
        <w:tc>
          <w:tcPr>
            <w:tcW w:w="1559" w:type="dxa"/>
            <w:shd w:val="clear" w:color="auto" w:fill="auto"/>
            <w:noWrap/>
          </w:tcPr>
          <w:p w:rsidR="00F83ED3" w:rsidRPr="00C05B6E" w:rsidRDefault="00F83ED3" w:rsidP="00C05B6E">
            <w:pPr>
              <w:jc w:val="center"/>
              <w:rPr>
                <w:sz w:val="22"/>
                <w:szCs w:val="22"/>
              </w:rPr>
            </w:pPr>
            <w:r>
              <w:rPr>
                <w:sz w:val="22"/>
                <w:szCs w:val="22"/>
              </w:rPr>
              <w:t>43,833</w:t>
            </w:r>
          </w:p>
        </w:tc>
        <w:tc>
          <w:tcPr>
            <w:tcW w:w="1452" w:type="dxa"/>
            <w:shd w:val="clear" w:color="auto" w:fill="auto"/>
            <w:noWrap/>
          </w:tcPr>
          <w:p w:rsidR="00F83ED3" w:rsidRPr="00C05B6E" w:rsidRDefault="00F83ED3" w:rsidP="00C05B6E">
            <w:pPr>
              <w:jc w:val="center"/>
              <w:rPr>
                <w:sz w:val="22"/>
                <w:szCs w:val="22"/>
              </w:rPr>
            </w:pPr>
            <w:r>
              <w:rPr>
                <w:sz w:val="22"/>
                <w:szCs w:val="22"/>
              </w:rPr>
              <w:t>48,578</w:t>
            </w:r>
          </w:p>
        </w:tc>
        <w:tc>
          <w:tcPr>
            <w:tcW w:w="1701" w:type="dxa"/>
            <w:shd w:val="clear" w:color="auto" w:fill="auto"/>
            <w:noWrap/>
          </w:tcPr>
          <w:p w:rsidR="00F83ED3" w:rsidRPr="00C05B6E" w:rsidRDefault="00F83ED3" w:rsidP="00C05B6E">
            <w:pPr>
              <w:jc w:val="center"/>
              <w:rPr>
                <w:sz w:val="22"/>
                <w:szCs w:val="22"/>
              </w:rPr>
            </w:pPr>
            <w:r>
              <w:rPr>
                <w:sz w:val="22"/>
                <w:szCs w:val="22"/>
              </w:rPr>
              <w:t>100,196</w:t>
            </w:r>
          </w:p>
        </w:tc>
        <w:tc>
          <w:tcPr>
            <w:tcW w:w="1639" w:type="dxa"/>
            <w:vAlign w:val="center"/>
          </w:tcPr>
          <w:p w:rsidR="00F83ED3" w:rsidRPr="00F83ED3" w:rsidRDefault="00F83ED3" w:rsidP="00F83ED3">
            <w:pPr>
              <w:jc w:val="center"/>
              <w:rPr>
                <w:sz w:val="22"/>
                <w:szCs w:val="22"/>
              </w:rPr>
            </w:pPr>
            <w:r w:rsidRPr="00F83ED3">
              <w:rPr>
                <w:sz w:val="22"/>
                <w:szCs w:val="22"/>
              </w:rPr>
              <w:t>39.4%</w:t>
            </w:r>
          </w:p>
        </w:tc>
      </w:tr>
      <w:tr w:rsidR="00F83ED3" w:rsidRPr="00BC6437" w:rsidTr="00F83ED3">
        <w:trPr>
          <w:trHeight w:val="300"/>
          <w:jc w:val="center"/>
        </w:trPr>
        <w:tc>
          <w:tcPr>
            <w:tcW w:w="2127" w:type="dxa"/>
            <w:shd w:val="clear" w:color="auto" w:fill="F2F2F2" w:themeFill="background1" w:themeFillShade="F2"/>
            <w:noWrap/>
            <w:vAlign w:val="bottom"/>
          </w:tcPr>
          <w:p w:rsidR="00F83ED3" w:rsidRPr="00FA1C67" w:rsidRDefault="00F83ED3" w:rsidP="00A415E5">
            <w:pPr>
              <w:rPr>
                <w:rFonts w:asciiTheme="minorHAnsi" w:hAnsiTheme="minorHAnsi" w:cstheme="minorHAnsi"/>
                <w:b/>
                <w:color w:val="000000"/>
                <w:sz w:val="22"/>
                <w:szCs w:val="22"/>
              </w:rPr>
            </w:pPr>
            <w:r w:rsidRPr="00FA1C67">
              <w:rPr>
                <w:rFonts w:asciiTheme="minorHAnsi" w:hAnsiTheme="minorHAnsi" w:cstheme="minorHAnsi"/>
                <w:b/>
                <w:color w:val="000000"/>
                <w:sz w:val="22"/>
                <w:szCs w:val="22"/>
              </w:rPr>
              <w:t>Grand Total</w:t>
            </w:r>
          </w:p>
        </w:tc>
        <w:tc>
          <w:tcPr>
            <w:tcW w:w="1525" w:type="dxa"/>
            <w:shd w:val="clear" w:color="auto" w:fill="F2F2F2" w:themeFill="background1" w:themeFillShade="F2"/>
            <w:noWrap/>
            <w:vAlign w:val="bottom"/>
          </w:tcPr>
          <w:p w:rsidR="00F83ED3" w:rsidRPr="00FA1C67" w:rsidRDefault="00F83ED3" w:rsidP="00215A91">
            <w:pPr>
              <w:jc w:val="center"/>
              <w:rPr>
                <w:rFonts w:asciiTheme="minorHAnsi" w:hAnsiTheme="minorHAnsi" w:cstheme="minorHAnsi"/>
                <w:color w:val="000000"/>
                <w:sz w:val="22"/>
                <w:szCs w:val="22"/>
              </w:rPr>
            </w:pPr>
            <w:r>
              <w:rPr>
                <w:rFonts w:asciiTheme="minorHAnsi" w:hAnsiTheme="minorHAnsi" w:cstheme="minorHAnsi"/>
                <w:color w:val="000000"/>
                <w:sz w:val="22"/>
                <w:szCs w:val="22"/>
              </w:rPr>
              <w:t>19,080</w:t>
            </w:r>
          </w:p>
        </w:tc>
        <w:tc>
          <w:tcPr>
            <w:tcW w:w="1559" w:type="dxa"/>
            <w:shd w:val="clear" w:color="auto" w:fill="F2F2F2" w:themeFill="background1" w:themeFillShade="F2"/>
            <w:noWrap/>
            <w:vAlign w:val="bottom"/>
          </w:tcPr>
          <w:p w:rsidR="00F83ED3" w:rsidRPr="00FA1C67" w:rsidRDefault="00F83ED3" w:rsidP="00215A91">
            <w:pPr>
              <w:jc w:val="center"/>
              <w:rPr>
                <w:rFonts w:asciiTheme="minorHAnsi" w:hAnsiTheme="minorHAnsi" w:cstheme="minorHAnsi"/>
                <w:color w:val="000000"/>
                <w:sz w:val="22"/>
                <w:szCs w:val="22"/>
              </w:rPr>
            </w:pPr>
            <w:r>
              <w:rPr>
                <w:rFonts w:asciiTheme="minorHAnsi" w:hAnsiTheme="minorHAnsi" w:cstheme="minorHAnsi"/>
                <w:color w:val="000000"/>
                <w:sz w:val="22"/>
                <w:szCs w:val="22"/>
              </w:rPr>
              <w:t>89,272</w:t>
            </w:r>
          </w:p>
        </w:tc>
        <w:tc>
          <w:tcPr>
            <w:tcW w:w="1452" w:type="dxa"/>
            <w:shd w:val="clear" w:color="auto" w:fill="F2F2F2" w:themeFill="background1" w:themeFillShade="F2"/>
            <w:noWrap/>
            <w:vAlign w:val="bottom"/>
          </w:tcPr>
          <w:p w:rsidR="00F83ED3" w:rsidRPr="00FA1C67" w:rsidRDefault="00F83ED3" w:rsidP="00215A91">
            <w:pPr>
              <w:jc w:val="center"/>
              <w:rPr>
                <w:rFonts w:asciiTheme="minorHAnsi" w:hAnsiTheme="minorHAnsi" w:cstheme="minorHAnsi"/>
                <w:color w:val="000000"/>
                <w:sz w:val="22"/>
                <w:szCs w:val="22"/>
              </w:rPr>
            </w:pPr>
            <w:r>
              <w:rPr>
                <w:rFonts w:asciiTheme="minorHAnsi" w:hAnsiTheme="minorHAnsi" w:cstheme="minorHAnsi"/>
                <w:color w:val="000000"/>
                <w:sz w:val="22"/>
                <w:szCs w:val="22"/>
              </w:rPr>
              <w:t>146,030</w:t>
            </w:r>
          </w:p>
        </w:tc>
        <w:tc>
          <w:tcPr>
            <w:tcW w:w="1701" w:type="dxa"/>
            <w:shd w:val="clear" w:color="auto" w:fill="F2F2F2" w:themeFill="background1" w:themeFillShade="F2"/>
            <w:noWrap/>
            <w:vAlign w:val="bottom"/>
          </w:tcPr>
          <w:p w:rsidR="00F83ED3" w:rsidRPr="00FA1C67" w:rsidRDefault="00F83ED3" w:rsidP="00215A91">
            <w:pPr>
              <w:jc w:val="center"/>
              <w:rPr>
                <w:rFonts w:asciiTheme="minorHAnsi" w:hAnsiTheme="minorHAnsi" w:cstheme="minorHAnsi"/>
                <w:color w:val="000000"/>
                <w:sz w:val="22"/>
                <w:szCs w:val="22"/>
              </w:rPr>
            </w:pPr>
            <w:r>
              <w:rPr>
                <w:rFonts w:asciiTheme="minorHAnsi" w:hAnsiTheme="minorHAnsi" w:cstheme="minorHAnsi"/>
                <w:color w:val="000000"/>
                <w:sz w:val="22"/>
                <w:szCs w:val="22"/>
              </w:rPr>
              <w:t>254,382</w:t>
            </w:r>
          </w:p>
        </w:tc>
        <w:tc>
          <w:tcPr>
            <w:tcW w:w="1639" w:type="dxa"/>
            <w:shd w:val="clear" w:color="auto" w:fill="F2F2F2" w:themeFill="background1" w:themeFillShade="F2"/>
            <w:vAlign w:val="center"/>
          </w:tcPr>
          <w:p w:rsidR="00F83ED3" w:rsidRPr="00F83ED3" w:rsidRDefault="00F83ED3" w:rsidP="00F83ED3">
            <w:pPr>
              <w:jc w:val="center"/>
              <w:rPr>
                <w:rFonts w:asciiTheme="minorHAnsi" w:hAnsiTheme="minorHAnsi" w:cstheme="minorHAnsi"/>
                <w:color w:val="000000"/>
                <w:sz w:val="22"/>
                <w:szCs w:val="22"/>
              </w:rPr>
            </w:pPr>
            <w:r w:rsidRPr="00F83ED3">
              <w:rPr>
                <w:rFonts w:asciiTheme="minorHAnsi" w:hAnsiTheme="minorHAnsi" w:cstheme="minorHAnsi"/>
                <w:color w:val="000000"/>
                <w:sz w:val="22"/>
                <w:szCs w:val="22"/>
              </w:rPr>
              <w:t>100%</w:t>
            </w:r>
          </w:p>
        </w:tc>
      </w:tr>
    </w:tbl>
    <w:p w:rsidR="001B5746" w:rsidRDefault="001B5746">
      <w:pPr>
        <w:spacing w:before="0" w:after="0" w:line="240" w:lineRule="auto"/>
        <w:rPr>
          <w:rFonts w:asciiTheme="majorHAnsi" w:hAnsiTheme="majorHAnsi" w:cs="Arial"/>
          <w:b/>
          <w:szCs w:val="20"/>
        </w:rPr>
      </w:pPr>
      <w:r>
        <w:rPr>
          <w:rFonts w:asciiTheme="majorHAnsi" w:hAnsiTheme="majorHAnsi" w:cs="Arial"/>
          <w:b/>
          <w:szCs w:val="20"/>
        </w:rPr>
        <w:br w:type="page"/>
      </w:r>
    </w:p>
    <w:p w:rsidR="00427F1A" w:rsidRPr="003D1307" w:rsidRDefault="00427F1A" w:rsidP="00427F1A">
      <w:pPr>
        <w:pStyle w:val="Heading1"/>
        <w:spacing w:before="0"/>
      </w:pPr>
      <w:r w:rsidRPr="003D1307">
        <w:lastRenderedPageBreak/>
        <w:t>Caveats</w:t>
      </w:r>
    </w:p>
    <w:p w:rsidR="00427F1A" w:rsidRPr="00131B2A" w:rsidRDefault="00427F1A" w:rsidP="00427F1A">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(SDB). There are limitations in the data capture and the actual data.</w:t>
      </w:r>
    </w:p>
    <w:p w:rsidR="00427F1A" w:rsidRPr="003D1307" w:rsidRDefault="00427F1A" w:rsidP="00427F1A">
      <w:pPr>
        <w:pStyle w:val="Heading1"/>
      </w:pPr>
      <w:r w:rsidRPr="003D1307">
        <w:t>Data Capture</w:t>
      </w:r>
    </w:p>
    <w:p w:rsidR="00427F1A" w:rsidRPr="00131B2A" w:rsidRDefault="00427F1A" w:rsidP="00427F1A">
      <w:pPr>
        <w:spacing w:line="240" w:lineRule="auto"/>
        <w:ind w:left="567"/>
        <w:rPr>
          <w:rFonts w:asciiTheme="minorHAnsi" w:hAnsiTheme="minorHAnsi" w:cstheme="minorHAnsi"/>
          <w:sz w:val="22"/>
          <w:szCs w:val="22"/>
        </w:rPr>
      </w:pPr>
      <w:r w:rsidRPr="00131B2A">
        <w:rPr>
          <w:rFonts w:asciiTheme="minorHAnsi" w:hAnsiTheme="minorHAnsi" w:cstheme="minorHAnsi"/>
          <w:sz w:val="22"/>
          <w:szCs w:val="22"/>
        </w:rPr>
        <w:t>SDB collects data concerning settlers who have been granted a permanent (or provisional) visa.</w:t>
      </w:r>
    </w:p>
    <w:p w:rsidR="00427F1A" w:rsidRPr="00131B2A" w:rsidRDefault="00427F1A" w:rsidP="00427F1A">
      <w:pPr>
        <w:spacing w:line="240" w:lineRule="auto"/>
        <w:ind w:left="567"/>
        <w:rPr>
          <w:rFonts w:asciiTheme="minorHAnsi" w:hAnsiTheme="minorHAnsi" w:cstheme="minorHAnsi"/>
          <w:sz w:val="22"/>
          <w:szCs w:val="22"/>
        </w:rPr>
      </w:pPr>
      <w:r w:rsidRPr="00131B2A">
        <w:rPr>
          <w:rFonts w:asciiTheme="minorHAnsi" w:hAnsiTheme="minorHAnsi" w:cstheme="minorHAnsi"/>
          <w:sz w:val="22"/>
          <w:szCs w:val="22"/>
        </w:rPr>
        <w:t>SDB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427F1A" w:rsidRPr="003D1307" w:rsidRDefault="00427F1A" w:rsidP="00427F1A">
      <w:pPr>
        <w:pStyle w:val="Heading1"/>
      </w:pPr>
      <w:r w:rsidRPr="003D1307">
        <w:t>Data Limitations</w:t>
      </w:r>
    </w:p>
    <w:p w:rsidR="00427F1A" w:rsidRPr="003807DA" w:rsidRDefault="00427F1A" w:rsidP="00427F1A">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427F1A" w:rsidRPr="00131B2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427F1A" w:rsidRPr="00131B2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427F1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427F1A" w:rsidRPr="003807DA" w:rsidRDefault="00427F1A" w:rsidP="00427F1A">
      <w:pPr>
        <w:rPr>
          <w:rFonts w:asciiTheme="minorHAnsi" w:hAnsiTheme="minorHAnsi" w:cstheme="minorHAnsi"/>
          <w:sz w:val="22"/>
          <w:szCs w:val="22"/>
        </w:rPr>
      </w:pPr>
      <w:r>
        <w:rPr>
          <w:rFonts w:asciiTheme="minorHAnsi" w:hAnsiTheme="minorHAnsi" w:cstheme="minorHAnsi"/>
          <w:sz w:val="22"/>
          <w:szCs w:val="22"/>
        </w:rPr>
        <w:t>The Settlement Database includes:</w:t>
      </w:r>
    </w:p>
    <w:p w:rsidR="00427F1A" w:rsidRPr="00131B2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427F1A" w:rsidRPr="00131B2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427F1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427F1A" w:rsidRPr="00131B2A" w:rsidRDefault="00427F1A" w:rsidP="00427F1A">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427F1A" w:rsidRPr="003807DA" w:rsidRDefault="00427F1A" w:rsidP="00427F1A">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(ASGC).</w:t>
      </w:r>
    </w:p>
    <w:p w:rsidR="00427F1A" w:rsidRPr="003D1307" w:rsidRDefault="00427F1A" w:rsidP="00427F1A">
      <w:pPr>
        <w:pStyle w:val="Heading1"/>
      </w:pPr>
      <w:r w:rsidRPr="003D1307">
        <w:t>Reporting Limitations</w:t>
      </w:r>
    </w:p>
    <w:p w:rsidR="00427F1A" w:rsidRDefault="00427F1A" w:rsidP="00427F1A">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427F1A" w:rsidRPr="001F5944" w:rsidRDefault="00427F1A" w:rsidP="00427F1A">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427F1A" w:rsidRDefault="00427F1A" w:rsidP="00427F1A">
      <w:pPr>
        <w:pStyle w:val="ListParagraph"/>
        <w:numPr>
          <w:ilvl w:val="0"/>
          <w:numId w:val="66"/>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427F1A" w:rsidRPr="00DD65F7" w:rsidRDefault="00427F1A" w:rsidP="00427F1A">
      <w:pPr>
        <w:pStyle w:val="ListParagraph"/>
        <w:numPr>
          <w:ilvl w:val="0"/>
          <w:numId w:val="66"/>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427F1A" w:rsidRPr="003D1307" w:rsidRDefault="00427F1A" w:rsidP="00427F1A">
      <w:pPr>
        <w:pStyle w:val="Heading1"/>
      </w:pPr>
      <w:r w:rsidRPr="003D1307">
        <w:t>Report Usage</w:t>
      </w:r>
    </w:p>
    <w:p w:rsidR="00427F1A" w:rsidRDefault="00427F1A" w:rsidP="00427F1A">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427F1A" w:rsidRPr="003D1307" w:rsidRDefault="00427F1A" w:rsidP="00427F1A">
      <w:pPr>
        <w:pStyle w:val="Heading1"/>
      </w:pPr>
      <w:r>
        <w:t xml:space="preserve">Further data </w:t>
      </w:r>
    </w:p>
    <w:p w:rsidR="00427F1A" w:rsidRDefault="00427F1A" w:rsidP="00427F1A">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427F1A" w:rsidRDefault="00427F1A" w:rsidP="00427F1A">
      <w:pPr>
        <w:ind w:left="567"/>
        <w:rPr>
          <w:rStyle w:val="Hyperlink"/>
          <w:rFonts w:asciiTheme="minorHAnsi" w:hAnsiTheme="minorHAnsi" w:cstheme="minorHAnsi"/>
          <w:b w:val="0"/>
          <w:sz w:val="22"/>
          <w:szCs w:val="22"/>
        </w:rPr>
      </w:pPr>
    </w:p>
    <w:p w:rsidR="00427F1A" w:rsidRDefault="00427F1A" w:rsidP="00427F1A">
      <w:pPr>
        <w:ind w:left="567"/>
        <w:rPr>
          <w:rStyle w:val="Hyperlink"/>
          <w:rFonts w:asciiTheme="minorHAnsi" w:hAnsiTheme="minorHAnsi" w:cstheme="minorHAnsi"/>
          <w:b w:val="0"/>
          <w:sz w:val="22"/>
          <w:szCs w:val="22"/>
        </w:rPr>
      </w:pPr>
    </w:p>
    <w:p w:rsidR="00427F1A" w:rsidRDefault="00427F1A" w:rsidP="00427F1A">
      <w:pPr>
        <w:ind w:left="567"/>
        <w:rPr>
          <w:rStyle w:val="Hyperlink"/>
          <w:rFonts w:asciiTheme="minorHAnsi" w:hAnsiTheme="minorHAnsi" w:cstheme="minorHAnsi"/>
          <w:b w:val="0"/>
          <w:sz w:val="22"/>
          <w:szCs w:val="22"/>
        </w:rPr>
      </w:pPr>
    </w:p>
    <w:p w:rsidR="00427F1A" w:rsidRDefault="00427F1A" w:rsidP="00427F1A">
      <w:pPr>
        <w:ind w:left="567"/>
        <w:rPr>
          <w:rStyle w:val="Hyperlink"/>
          <w:rFonts w:asciiTheme="minorHAnsi" w:hAnsiTheme="minorHAnsi" w:cstheme="minorHAnsi"/>
          <w:b w:val="0"/>
          <w:sz w:val="22"/>
          <w:szCs w:val="22"/>
        </w:rPr>
      </w:pPr>
    </w:p>
    <w:p w:rsidR="00427F1A" w:rsidRDefault="00427F1A" w:rsidP="00427F1A">
      <w:pPr>
        <w:ind w:left="567"/>
        <w:rPr>
          <w:rStyle w:val="Hyperlink"/>
          <w:rFonts w:asciiTheme="minorHAnsi" w:hAnsiTheme="minorHAnsi" w:cstheme="minorHAnsi"/>
          <w:b w:val="0"/>
          <w:sz w:val="22"/>
          <w:szCs w:val="22"/>
        </w:rPr>
      </w:pPr>
    </w:p>
    <w:p w:rsidR="00427F1A" w:rsidRPr="00FE57D0" w:rsidRDefault="00427F1A" w:rsidP="00427F1A">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D830D9" w:rsidRPr="00FE57D0" w:rsidRDefault="00D830D9" w:rsidP="00427F1A">
      <w:pPr>
        <w:pStyle w:val="Heading1"/>
        <w:spacing w:before="0"/>
        <w:rPr>
          <w:rFonts w:asciiTheme="minorHAnsi" w:hAnsiTheme="minorHAnsi" w:cstheme="minorHAnsi"/>
          <w:sz w:val="22"/>
          <w:szCs w:val="22"/>
        </w:rPr>
      </w:pPr>
    </w:p>
    <w:sectPr w:rsidR="00D830D9" w:rsidRPr="00FE57D0" w:rsidSect="0066780B">
      <w:headerReference w:type="default" r:id="rId11"/>
      <w:footerReference w:type="default" r:id="rId12"/>
      <w:pgSz w:w="11906" w:h="16838" w:code="9"/>
      <w:pgMar w:top="737" w:right="707" w:bottom="426"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729" w:rsidRDefault="002F1729">
      <w:r>
        <w:separator/>
      </w:r>
    </w:p>
  </w:endnote>
  <w:endnote w:type="continuationSeparator" w:id="0">
    <w:p w:rsidR="002F1729" w:rsidRDefault="002F1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AF7853">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729" w:rsidRDefault="002F1729">
      <w:r>
        <w:separator/>
      </w:r>
    </w:p>
  </w:footnote>
  <w:footnote w:type="continuationSeparator" w:id="0">
    <w:p w:rsidR="002F1729" w:rsidRDefault="002F1729">
      <w:r>
        <w:continuationSeparator/>
      </w:r>
    </w:p>
  </w:footnote>
  <w:footnote w:id="1">
    <w:p w:rsidR="00A62946" w:rsidRPr="001B5746" w:rsidRDefault="00A62946">
      <w:pPr>
        <w:pStyle w:val="FootnoteText"/>
        <w:rPr>
          <w:rFonts w:asciiTheme="minorHAnsi" w:hAnsiTheme="minorHAnsi" w:cstheme="minorHAnsi"/>
        </w:rPr>
      </w:pPr>
      <w:r w:rsidRPr="001B5746">
        <w:rPr>
          <w:rStyle w:val="FootnoteReference"/>
          <w:rFonts w:asciiTheme="minorHAnsi" w:hAnsiTheme="minorHAnsi" w:cstheme="minorHAnsi"/>
        </w:rPr>
        <w:footnoteRef/>
      </w:r>
      <w:r w:rsidRPr="001B5746">
        <w:rPr>
          <w:rFonts w:asciiTheme="minorHAnsi" w:hAnsiTheme="minorHAnsi" w:cstheme="minorHAnsi"/>
        </w:rPr>
        <w:t>Settlement Date is 'date of visa grant' for settlers who were in Australia when their visa was granted and 'date of arrival in Australia' for settlers who were overseas when their visa was granted.</w:t>
      </w:r>
    </w:p>
  </w:footnote>
  <w:footnote w:id="2">
    <w:p w:rsidR="00F83ED3" w:rsidRDefault="00F83ED3" w:rsidP="00F83ED3">
      <w:pPr>
        <w:pStyle w:val="FootnoteText"/>
      </w:pPr>
      <w:r>
        <w:rPr>
          <w:rStyle w:val="FootnoteReference"/>
        </w:rPr>
        <w:footnoteRef/>
      </w:r>
      <w:r>
        <w:t xml:space="preserve"> What does a Country of Birth of ‘Australia’ mean? </w:t>
      </w:r>
    </w:p>
    <w:p w:rsidR="00F83ED3" w:rsidRDefault="00F83ED3" w:rsidP="00F83ED3">
      <w:pPr>
        <w:pStyle w:val="FootnoteText"/>
      </w:pPr>
      <w:r>
        <w:t xml:space="preserve">If a migrant’s Country of Birth is listed as ‘Australia’ it indicates that the individual was actually born in Australia from parents who had arrived in Australia prior to the birth but were not permanent residents. </w:t>
      </w:r>
    </w:p>
    <w:p w:rsidR="00F83ED3" w:rsidRDefault="00F83ED3" w:rsidP="00F83ED3">
      <w:pPr>
        <w:pStyle w:val="FootnoteText"/>
      </w:pPr>
      <w:r>
        <w:t>Since 1987, Australian citizenship is gained when a child either has one citizen parent, permanent resident parent or has been in Australia for 10 consecutive years since birth. Where a child is born to parents holding only temporary visa/s, that child is granted the same visa as the parent and added to any permanent visa application at the request of the parent. When that permanent visa is granted, the child is also granted the permanent visa as a dependent and considered a permanent ‘migrant’ as part of the family regardless of their birth in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538" w:rsidRPr="001B5746" w:rsidRDefault="00444F9F" w:rsidP="001B3538">
    <w:pPr>
      <w:pStyle w:val="Header"/>
      <w:rPr>
        <w:rFonts w:asciiTheme="minorHAnsi" w:hAnsiTheme="minorHAnsi" w:cstheme="minorHAnsi"/>
        <w:noProof/>
      </w:rPr>
    </w:pPr>
    <w:r w:rsidRPr="001B5746">
      <w:rPr>
        <w:rFonts w:asciiTheme="minorHAnsi" w:hAnsiTheme="minorHAnsi" w:cstheme="minorHAnsi"/>
        <w:noProof/>
      </w:rPr>
      <w:t>Settlement</w:t>
    </w:r>
    <w:r w:rsidR="001B3538" w:rsidRPr="001B5746">
      <w:rPr>
        <w:rFonts w:asciiTheme="minorHAnsi" w:hAnsiTheme="minorHAnsi" w:cstheme="minorHAnsi"/>
        <w:noProof/>
      </w:rPr>
      <w:t xml:space="preserve"> Report</w:t>
    </w:r>
    <w:r w:rsidRPr="001B5746">
      <w:rPr>
        <w:rFonts w:asciiTheme="minorHAnsi" w:hAnsiTheme="minorHAnsi" w:cstheme="minorHAnsi"/>
        <w:noProof/>
      </w:rPr>
      <w:t>s</w:t>
    </w:r>
  </w:p>
  <w:p w:rsidR="00B52BDE" w:rsidRDefault="00B52BDE">
    <w:pPr>
      <w:pStyle w:val="Header"/>
    </w:pPr>
    <w:r>
      <w:rPr>
        <w:noProof/>
      </w:rPr>
      <mc:AlternateContent>
        <mc:Choice Requires="wps">
          <w:drawing>
            <wp:inline distT="0" distB="0" distL="0" distR="0" wp14:anchorId="69DA191C" wp14:editId="6F0236F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2440FA8"/>
    <w:multiLevelType w:val="hybridMultilevel"/>
    <w:tmpl w:val="BA1448C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83C1DF1"/>
    <w:multiLevelType w:val="hybridMultilevel"/>
    <w:tmpl w:val="C1347E4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8">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CBF0522"/>
    <w:multiLevelType w:val="hybridMultilevel"/>
    <w:tmpl w:val="5004F978"/>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7">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F9677A7"/>
    <w:multiLevelType w:val="hybridMultilevel"/>
    <w:tmpl w:val="2782EC2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5">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0"/>
  </w:num>
  <w:num w:numId="3">
    <w:abstractNumId w:val="42"/>
  </w:num>
  <w:num w:numId="4">
    <w:abstractNumId w:val="16"/>
  </w:num>
  <w:num w:numId="5">
    <w:abstractNumId w:val="20"/>
  </w:num>
  <w:num w:numId="6">
    <w:abstractNumId w:val="62"/>
  </w:num>
  <w:num w:numId="7">
    <w:abstractNumId w:val="49"/>
  </w:num>
  <w:num w:numId="8">
    <w:abstractNumId w:val="54"/>
  </w:num>
  <w:num w:numId="9">
    <w:abstractNumId w:val="10"/>
  </w:num>
  <w:num w:numId="10">
    <w:abstractNumId w:val="61"/>
  </w:num>
  <w:num w:numId="11">
    <w:abstractNumId w:val="21"/>
  </w:num>
  <w:num w:numId="12">
    <w:abstractNumId w:val="46"/>
  </w:num>
  <w:num w:numId="13">
    <w:abstractNumId w:val="56"/>
  </w:num>
  <w:num w:numId="14">
    <w:abstractNumId w:val="39"/>
  </w:num>
  <w:num w:numId="15">
    <w:abstractNumId w:val="5"/>
  </w:num>
  <w:num w:numId="16">
    <w:abstractNumId w:val="17"/>
  </w:num>
  <w:num w:numId="17">
    <w:abstractNumId w:val="60"/>
  </w:num>
  <w:num w:numId="18">
    <w:abstractNumId w:val="53"/>
  </w:num>
  <w:num w:numId="19">
    <w:abstractNumId w:val="18"/>
  </w:num>
  <w:num w:numId="20">
    <w:abstractNumId w:val="3"/>
  </w:num>
  <w:num w:numId="21">
    <w:abstractNumId w:val="8"/>
  </w:num>
  <w:num w:numId="22">
    <w:abstractNumId w:val="25"/>
  </w:num>
  <w:num w:numId="23">
    <w:abstractNumId w:val="22"/>
  </w:num>
  <w:num w:numId="24">
    <w:abstractNumId w:val="65"/>
  </w:num>
  <w:num w:numId="25">
    <w:abstractNumId w:val="38"/>
  </w:num>
  <w:num w:numId="26">
    <w:abstractNumId w:val="43"/>
  </w:num>
  <w:num w:numId="27">
    <w:abstractNumId w:val="24"/>
  </w:num>
  <w:num w:numId="28">
    <w:abstractNumId w:val="63"/>
  </w:num>
  <w:num w:numId="29">
    <w:abstractNumId w:val="52"/>
  </w:num>
  <w:num w:numId="30">
    <w:abstractNumId w:val="30"/>
  </w:num>
  <w:num w:numId="31">
    <w:abstractNumId w:val="48"/>
  </w:num>
  <w:num w:numId="32">
    <w:abstractNumId w:val="57"/>
  </w:num>
  <w:num w:numId="33">
    <w:abstractNumId w:val="59"/>
  </w:num>
  <w:num w:numId="34">
    <w:abstractNumId w:val="6"/>
  </w:num>
  <w:num w:numId="35">
    <w:abstractNumId w:val="28"/>
  </w:num>
  <w:num w:numId="36">
    <w:abstractNumId w:val="51"/>
  </w:num>
  <w:num w:numId="37">
    <w:abstractNumId w:val="12"/>
  </w:num>
  <w:num w:numId="38">
    <w:abstractNumId w:val="33"/>
  </w:num>
  <w:num w:numId="39">
    <w:abstractNumId w:val="27"/>
  </w:num>
  <w:num w:numId="40">
    <w:abstractNumId w:val="37"/>
  </w:num>
  <w:num w:numId="41">
    <w:abstractNumId w:val="41"/>
  </w:num>
  <w:num w:numId="42">
    <w:abstractNumId w:val="26"/>
  </w:num>
  <w:num w:numId="43">
    <w:abstractNumId w:val="19"/>
  </w:num>
  <w:num w:numId="44">
    <w:abstractNumId w:val="45"/>
  </w:num>
  <w:num w:numId="45">
    <w:abstractNumId w:val="50"/>
  </w:num>
  <w:num w:numId="46">
    <w:abstractNumId w:val="35"/>
  </w:num>
  <w:num w:numId="47">
    <w:abstractNumId w:val="34"/>
  </w:num>
  <w:num w:numId="48">
    <w:abstractNumId w:val="1"/>
  </w:num>
  <w:num w:numId="49">
    <w:abstractNumId w:val="47"/>
  </w:num>
  <w:num w:numId="50">
    <w:abstractNumId w:val="58"/>
  </w:num>
  <w:num w:numId="51">
    <w:abstractNumId w:val="44"/>
  </w:num>
  <w:num w:numId="52">
    <w:abstractNumId w:val="13"/>
  </w:num>
  <w:num w:numId="53">
    <w:abstractNumId w:val="55"/>
  </w:num>
  <w:num w:numId="54">
    <w:abstractNumId w:val="29"/>
  </w:num>
  <w:num w:numId="55">
    <w:abstractNumId w:val="23"/>
  </w:num>
  <w:num w:numId="56">
    <w:abstractNumId w:val="32"/>
  </w:num>
  <w:num w:numId="57">
    <w:abstractNumId w:val="31"/>
  </w:num>
  <w:num w:numId="58">
    <w:abstractNumId w:val="15"/>
  </w:num>
  <w:num w:numId="59">
    <w:abstractNumId w:val="40"/>
  </w:num>
  <w:num w:numId="60">
    <w:abstractNumId w:val="9"/>
  </w:num>
  <w:num w:numId="61">
    <w:abstractNumId w:val="2"/>
  </w:num>
  <w:num w:numId="62">
    <w:abstractNumId w:val="7"/>
  </w:num>
  <w:num w:numId="63">
    <w:abstractNumId w:val="36"/>
  </w:num>
  <w:num w:numId="64">
    <w:abstractNumId w:val="4"/>
  </w:num>
  <w:num w:numId="65">
    <w:abstractNumId w:val="64"/>
  </w:num>
  <w:num w:numId="66">
    <w:abstractNumId w:val="14"/>
  </w:num>
  <w:num w:numId="67">
    <w:abstractNumId w:val="1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729"/>
    <w:rsid w:val="00002C18"/>
    <w:rsid w:val="00010549"/>
    <w:rsid w:val="00012F84"/>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3809"/>
    <w:rsid w:val="00086E3C"/>
    <w:rsid w:val="00087B2C"/>
    <w:rsid w:val="00087DBD"/>
    <w:rsid w:val="00090570"/>
    <w:rsid w:val="00090753"/>
    <w:rsid w:val="00097BFF"/>
    <w:rsid w:val="000A3EC3"/>
    <w:rsid w:val="000A669D"/>
    <w:rsid w:val="000A66A8"/>
    <w:rsid w:val="000C014D"/>
    <w:rsid w:val="000D00B7"/>
    <w:rsid w:val="000D4703"/>
    <w:rsid w:val="000D693C"/>
    <w:rsid w:val="000E12D4"/>
    <w:rsid w:val="00104669"/>
    <w:rsid w:val="00104FCD"/>
    <w:rsid w:val="00107A52"/>
    <w:rsid w:val="00110028"/>
    <w:rsid w:val="00116EDF"/>
    <w:rsid w:val="00123114"/>
    <w:rsid w:val="00124B26"/>
    <w:rsid w:val="00130C4E"/>
    <w:rsid w:val="00131B54"/>
    <w:rsid w:val="001354B7"/>
    <w:rsid w:val="001404FA"/>
    <w:rsid w:val="001413C5"/>
    <w:rsid w:val="00142956"/>
    <w:rsid w:val="00143502"/>
    <w:rsid w:val="00144494"/>
    <w:rsid w:val="00144868"/>
    <w:rsid w:val="00157709"/>
    <w:rsid w:val="00164325"/>
    <w:rsid w:val="00167330"/>
    <w:rsid w:val="00167CF4"/>
    <w:rsid w:val="00185F6A"/>
    <w:rsid w:val="001917B4"/>
    <w:rsid w:val="00191D0F"/>
    <w:rsid w:val="001943DD"/>
    <w:rsid w:val="00195374"/>
    <w:rsid w:val="001A127F"/>
    <w:rsid w:val="001A3CA4"/>
    <w:rsid w:val="001A3EA4"/>
    <w:rsid w:val="001B3538"/>
    <w:rsid w:val="001B3AEC"/>
    <w:rsid w:val="001B5000"/>
    <w:rsid w:val="001B53F1"/>
    <w:rsid w:val="001B5746"/>
    <w:rsid w:val="001B6F28"/>
    <w:rsid w:val="001D4585"/>
    <w:rsid w:val="001D5D54"/>
    <w:rsid w:val="001E41C8"/>
    <w:rsid w:val="001F3AD7"/>
    <w:rsid w:val="002069F9"/>
    <w:rsid w:val="00207630"/>
    <w:rsid w:val="00213082"/>
    <w:rsid w:val="00215A91"/>
    <w:rsid w:val="0021714E"/>
    <w:rsid w:val="00222187"/>
    <w:rsid w:val="00222C8D"/>
    <w:rsid w:val="00222E33"/>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E256A"/>
    <w:rsid w:val="002F1729"/>
    <w:rsid w:val="002F19EF"/>
    <w:rsid w:val="00302415"/>
    <w:rsid w:val="003102F6"/>
    <w:rsid w:val="00313304"/>
    <w:rsid w:val="00313C48"/>
    <w:rsid w:val="00314F1C"/>
    <w:rsid w:val="003162AD"/>
    <w:rsid w:val="00321148"/>
    <w:rsid w:val="00321798"/>
    <w:rsid w:val="00325F44"/>
    <w:rsid w:val="00326976"/>
    <w:rsid w:val="00327EAC"/>
    <w:rsid w:val="003311D7"/>
    <w:rsid w:val="00332B8B"/>
    <w:rsid w:val="00334AD5"/>
    <w:rsid w:val="0033755F"/>
    <w:rsid w:val="00347104"/>
    <w:rsid w:val="0035213F"/>
    <w:rsid w:val="003555D2"/>
    <w:rsid w:val="00363DF3"/>
    <w:rsid w:val="003656B1"/>
    <w:rsid w:val="0037056B"/>
    <w:rsid w:val="00377173"/>
    <w:rsid w:val="003774DA"/>
    <w:rsid w:val="00392557"/>
    <w:rsid w:val="003945C0"/>
    <w:rsid w:val="003A06C2"/>
    <w:rsid w:val="003A0840"/>
    <w:rsid w:val="003B6D2E"/>
    <w:rsid w:val="003C430D"/>
    <w:rsid w:val="003C7404"/>
    <w:rsid w:val="003D3C5A"/>
    <w:rsid w:val="003D404A"/>
    <w:rsid w:val="003E6FDA"/>
    <w:rsid w:val="003F3072"/>
    <w:rsid w:val="00401A2A"/>
    <w:rsid w:val="00404498"/>
    <w:rsid w:val="004103D7"/>
    <w:rsid w:val="0041307C"/>
    <w:rsid w:val="0041607D"/>
    <w:rsid w:val="004167B4"/>
    <w:rsid w:val="00427F1A"/>
    <w:rsid w:val="00430D7E"/>
    <w:rsid w:val="00433B04"/>
    <w:rsid w:val="00440BD3"/>
    <w:rsid w:val="00444F9F"/>
    <w:rsid w:val="00446F93"/>
    <w:rsid w:val="004649E2"/>
    <w:rsid w:val="00464E8C"/>
    <w:rsid w:val="00466D36"/>
    <w:rsid w:val="00467185"/>
    <w:rsid w:val="0047050C"/>
    <w:rsid w:val="00475504"/>
    <w:rsid w:val="00480F21"/>
    <w:rsid w:val="00484FED"/>
    <w:rsid w:val="00495AF1"/>
    <w:rsid w:val="004C2C35"/>
    <w:rsid w:val="004C64B3"/>
    <w:rsid w:val="004F775C"/>
    <w:rsid w:val="005015E4"/>
    <w:rsid w:val="0050291D"/>
    <w:rsid w:val="0050697E"/>
    <w:rsid w:val="005105BB"/>
    <w:rsid w:val="00524B3C"/>
    <w:rsid w:val="00525693"/>
    <w:rsid w:val="005315A9"/>
    <w:rsid w:val="00532B56"/>
    <w:rsid w:val="00540AD0"/>
    <w:rsid w:val="0054322A"/>
    <w:rsid w:val="00543923"/>
    <w:rsid w:val="005519C9"/>
    <w:rsid w:val="005523D1"/>
    <w:rsid w:val="00554A9C"/>
    <w:rsid w:val="00557624"/>
    <w:rsid w:val="0056023E"/>
    <w:rsid w:val="005658EF"/>
    <w:rsid w:val="005802B6"/>
    <w:rsid w:val="005822A3"/>
    <w:rsid w:val="0059070B"/>
    <w:rsid w:val="00594445"/>
    <w:rsid w:val="005B1225"/>
    <w:rsid w:val="005C09F4"/>
    <w:rsid w:val="005C561A"/>
    <w:rsid w:val="005C5B93"/>
    <w:rsid w:val="005C66FF"/>
    <w:rsid w:val="005C785A"/>
    <w:rsid w:val="005D03CA"/>
    <w:rsid w:val="005D45AB"/>
    <w:rsid w:val="005D47A5"/>
    <w:rsid w:val="005E4662"/>
    <w:rsid w:val="005F214A"/>
    <w:rsid w:val="005F6BD6"/>
    <w:rsid w:val="00601C99"/>
    <w:rsid w:val="00607597"/>
    <w:rsid w:val="00620940"/>
    <w:rsid w:val="006255E4"/>
    <w:rsid w:val="00641020"/>
    <w:rsid w:val="006410C1"/>
    <w:rsid w:val="00647F05"/>
    <w:rsid w:val="006530EF"/>
    <w:rsid w:val="00654D06"/>
    <w:rsid w:val="00656204"/>
    <w:rsid w:val="00661536"/>
    <w:rsid w:val="00663001"/>
    <w:rsid w:val="0066780B"/>
    <w:rsid w:val="0067233D"/>
    <w:rsid w:val="006745AE"/>
    <w:rsid w:val="00675BEF"/>
    <w:rsid w:val="00676AF3"/>
    <w:rsid w:val="00676D10"/>
    <w:rsid w:val="00680F71"/>
    <w:rsid w:val="00682A53"/>
    <w:rsid w:val="0069174B"/>
    <w:rsid w:val="00692484"/>
    <w:rsid w:val="00693FA1"/>
    <w:rsid w:val="00695FA9"/>
    <w:rsid w:val="006B05E3"/>
    <w:rsid w:val="006B09BC"/>
    <w:rsid w:val="006B42A0"/>
    <w:rsid w:val="006B4E59"/>
    <w:rsid w:val="006C3402"/>
    <w:rsid w:val="006C395C"/>
    <w:rsid w:val="006C45D4"/>
    <w:rsid w:val="006D2E60"/>
    <w:rsid w:val="006E1F3C"/>
    <w:rsid w:val="006E6073"/>
    <w:rsid w:val="006F7300"/>
    <w:rsid w:val="00703C09"/>
    <w:rsid w:val="00706216"/>
    <w:rsid w:val="00712300"/>
    <w:rsid w:val="00720739"/>
    <w:rsid w:val="00721695"/>
    <w:rsid w:val="007242B4"/>
    <w:rsid w:val="00725FB2"/>
    <w:rsid w:val="00730C64"/>
    <w:rsid w:val="007322AF"/>
    <w:rsid w:val="00735477"/>
    <w:rsid w:val="00736DCA"/>
    <w:rsid w:val="00742399"/>
    <w:rsid w:val="0074640C"/>
    <w:rsid w:val="0075003D"/>
    <w:rsid w:val="00751B37"/>
    <w:rsid w:val="00753083"/>
    <w:rsid w:val="00754D44"/>
    <w:rsid w:val="00767B7E"/>
    <w:rsid w:val="007746A9"/>
    <w:rsid w:val="00785465"/>
    <w:rsid w:val="00787656"/>
    <w:rsid w:val="00792D8E"/>
    <w:rsid w:val="007A67EA"/>
    <w:rsid w:val="007B15AF"/>
    <w:rsid w:val="007B7E83"/>
    <w:rsid w:val="007C1631"/>
    <w:rsid w:val="007C636F"/>
    <w:rsid w:val="007D0EF8"/>
    <w:rsid w:val="007D1F11"/>
    <w:rsid w:val="007D39EB"/>
    <w:rsid w:val="007D575D"/>
    <w:rsid w:val="008131E7"/>
    <w:rsid w:val="00813711"/>
    <w:rsid w:val="00813DE6"/>
    <w:rsid w:val="00814279"/>
    <w:rsid w:val="008263C2"/>
    <w:rsid w:val="0082755A"/>
    <w:rsid w:val="00842959"/>
    <w:rsid w:val="008451FE"/>
    <w:rsid w:val="008466A1"/>
    <w:rsid w:val="00846C1D"/>
    <w:rsid w:val="00851758"/>
    <w:rsid w:val="00856D5A"/>
    <w:rsid w:val="008609EB"/>
    <w:rsid w:val="00862D6D"/>
    <w:rsid w:val="00863793"/>
    <w:rsid w:val="008653E0"/>
    <w:rsid w:val="008657FB"/>
    <w:rsid w:val="00871D4F"/>
    <w:rsid w:val="00874FB3"/>
    <w:rsid w:val="00880BE3"/>
    <w:rsid w:val="00882588"/>
    <w:rsid w:val="00895792"/>
    <w:rsid w:val="008A3738"/>
    <w:rsid w:val="008B645B"/>
    <w:rsid w:val="008B67B8"/>
    <w:rsid w:val="008B753D"/>
    <w:rsid w:val="008B774D"/>
    <w:rsid w:val="008C123E"/>
    <w:rsid w:val="008C3ED0"/>
    <w:rsid w:val="008C5585"/>
    <w:rsid w:val="008C5950"/>
    <w:rsid w:val="008C5E94"/>
    <w:rsid w:val="008D0257"/>
    <w:rsid w:val="008D07CB"/>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47233"/>
    <w:rsid w:val="0095016F"/>
    <w:rsid w:val="0095197E"/>
    <w:rsid w:val="00952AB2"/>
    <w:rsid w:val="009551E0"/>
    <w:rsid w:val="00955801"/>
    <w:rsid w:val="0095654E"/>
    <w:rsid w:val="00956F3C"/>
    <w:rsid w:val="0095779B"/>
    <w:rsid w:val="009900F0"/>
    <w:rsid w:val="00991769"/>
    <w:rsid w:val="00994E9F"/>
    <w:rsid w:val="00996931"/>
    <w:rsid w:val="009A4CD8"/>
    <w:rsid w:val="009B3ED1"/>
    <w:rsid w:val="009C433C"/>
    <w:rsid w:val="009C7D3A"/>
    <w:rsid w:val="009D28B7"/>
    <w:rsid w:val="009D56ED"/>
    <w:rsid w:val="009D7E1A"/>
    <w:rsid w:val="009E2162"/>
    <w:rsid w:val="009F61BC"/>
    <w:rsid w:val="00A006EB"/>
    <w:rsid w:val="00A03709"/>
    <w:rsid w:val="00A06C77"/>
    <w:rsid w:val="00A10147"/>
    <w:rsid w:val="00A13D26"/>
    <w:rsid w:val="00A146A5"/>
    <w:rsid w:val="00A17411"/>
    <w:rsid w:val="00A2223D"/>
    <w:rsid w:val="00A34A74"/>
    <w:rsid w:val="00A35351"/>
    <w:rsid w:val="00A42ADE"/>
    <w:rsid w:val="00A60693"/>
    <w:rsid w:val="00A62946"/>
    <w:rsid w:val="00A67728"/>
    <w:rsid w:val="00A81A4F"/>
    <w:rsid w:val="00A82E14"/>
    <w:rsid w:val="00A901E9"/>
    <w:rsid w:val="00A9762C"/>
    <w:rsid w:val="00AA1EA0"/>
    <w:rsid w:val="00AA4067"/>
    <w:rsid w:val="00AB1A5B"/>
    <w:rsid w:val="00AC0A54"/>
    <w:rsid w:val="00AC125E"/>
    <w:rsid w:val="00AC45DF"/>
    <w:rsid w:val="00AC474D"/>
    <w:rsid w:val="00AC4DFD"/>
    <w:rsid w:val="00AC58FD"/>
    <w:rsid w:val="00AC60CD"/>
    <w:rsid w:val="00AD60E6"/>
    <w:rsid w:val="00AD793A"/>
    <w:rsid w:val="00AE5956"/>
    <w:rsid w:val="00AE619F"/>
    <w:rsid w:val="00AF373A"/>
    <w:rsid w:val="00AF7853"/>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72364"/>
    <w:rsid w:val="00B72D62"/>
    <w:rsid w:val="00B843C8"/>
    <w:rsid w:val="00B84F77"/>
    <w:rsid w:val="00B951E2"/>
    <w:rsid w:val="00B96F37"/>
    <w:rsid w:val="00BA607C"/>
    <w:rsid w:val="00BB23BB"/>
    <w:rsid w:val="00BB3E2A"/>
    <w:rsid w:val="00BC16F5"/>
    <w:rsid w:val="00BC287D"/>
    <w:rsid w:val="00BC4A76"/>
    <w:rsid w:val="00BC6437"/>
    <w:rsid w:val="00BD32E5"/>
    <w:rsid w:val="00BD7ADD"/>
    <w:rsid w:val="00BE41C3"/>
    <w:rsid w:val="00BE6767"/>
    <w:rsid w:val="00BE68D7"/>
    <w:rsid w:val="00BF7763"/>
    <w:rsid w:val="00C013B5"/>
    <w:rsid w:val="00C04D5E"/>
    <w:rsid w:val="00C059B7"/>
    <w:rsid w:val="00C05B6E"/>
    <w:rsid w:val="00C24EA2"/>
    <w:rsid w:val="00C24F70"/>
    <w:rsid w:val="00C26E66"/>
    <w:rsid w:val="00C33479"/>
    <w:rsid w:val="00C34B4A"/>
    <w:rsid w:val="00C441EB"/>
    <w:rsid w:val="00C46EEB"/>
    <w:rsid w:val="00C47BA2"/>
    <w:rsid w:val="00C51E63"/>
    <w:rsid w:val="00C612DC"/>
    <w:rsid w:val="00C622CB"/>
    <w:rsid w:val="00C645F7"/>
    <w:rsid w:val="00C64D15"/>
    <w:rsid w:val="00C74F74"/>
    <w:rsid w:val="00C7554B"/>
    <w:rsid w:val="00C83E31"/>
    <w:rsid w:val="00C916A4"/>
    <w:rsid w:val="00CA2A52"/>
    <w:rsid w:val="00CA2B15"/>
    <w:rsid w:val="00CA6490"/>
    <w:rsid w:val="00CB5744"/>
    <w:rsid w:val="00CB7022"/>
    <w:rsid w:val="00CB7E0B"/>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731C4"/>
    <w:rsid w:val="00D74A69"/>
    <w:rsid w:val="00D81BAA"/>
    <w:rsid w:val="00D830D9"/>
    <w:rsid w:val="00D85BE0"/>
    <w:rsid w:val="00D87C1A"/>
    <w:rsid w:val="00D87FD7"/>
    <w:rsid w:val="00D92167"/>
    <w:rsid w:val="00D9502B"/>
    <w:rsid w:val="00D97047"/>
    <w:rsid w:val="00D97108"/>
    <w:rsid w:val="00DC5665"/>
    <w:rsid w:val="00DD4F44"/>
    <w:rsid w:val="00DD5D8B"/>
    <w:rsid w:val="00DE0F9E"/>
    <w:rsid w:val="00DE5D76"/>
    <w:rsid w:val="00E04C8D"/>
    <w:rsid w:val="00E128D8"/>
    <w:rsid w:val="00E3072A"/>
    <w:rsid w:val="00E30D45"/>
    <w:rsid w:val="00E360C7"/>
    <w:rsid w:val="00E42FE4"/>
    <w:rsid w:val="00E46FAA"/>
    <w:rsid w:val="00E5750B"/>
    <w:rsid w:val="00E60E2E"/>
    <w:rsid w:val="00E63A24"/>
    <w:rsid w:val="00E64CA4"/>
    <w:rsid w:val="00E71A2D"/>
    <w:rsid w:val="00E8698A"/>
    <w:rsid w:val="00E923F2"/>
    <w:rsid w:val="00EA31CC"/>
    <w:rsid w:val="00EB14DF"/>
    <w:rsid w:val="00EB2B64"/>
    <w:rsid w:val="00EB3A07"/>
    <w:rsid w:val="00EB4143"/>
    <w:rsid w:val="00EB4728"/>
    <w:rsid w:val="00EC207A"/>
    <w:rsid w:val="00EC3F31"/>
    <w:rsid w:val="00ED3BBB"/>
    <w:rsid w:val="00ED3C91"/>
    <w:rsid w:val="00ED4112"/>
    <w:rsid w:val="00EE301A"/>
    <w:rsid w:val="00EF1347"/>
    <w:rsid w:val="00EF25CE"/>
    <w:rsid w:val="00EF2BEB"/>
    <w:rsid w:val="00F01129"/>
    <w:rsid w:val="00F03D93"/>
    <w:rsid w:val="00F03D9E"/>
    <w:rsid w:val="00F227BF"/>
    <w:rsid w:val="00F24831"/>
    <w:rsid w:val="00F3270E"/>
    <w:rsid w:val="00F374B2"/>
    <w:rsid w:val="00F40AFC"/>
    <w:rsid w:val="00F4289D"/>
    <w:rsid w:val="00F4730E"/>
    <w:rsid w:val="00F50A92"/>
    <w:rsid w:val="00F53F24"/>
    <w:rsid w:val="00F63341"/>
    <w:rsid w:val="00F7536E"/>
    <w:rsid w:val="00F81F93"/>
    <w:rsid w:val="00F83ED3"/>
    <w:rsid w:val="00F86F1B"/>
    <w:rsid w:val="00F92A21"/>
    <w:rsid w:val="00F92E9B"/>
    <w:rsid w:val="00F95126"/>
    <w:rsid w:val="00F95814"/>
    <w:rsid w:val="00FA01D9"/>
    <w:rsid w:val="00FA031C"/>
    <w:rsid w:val="00FB13C1"/>
    <w:rsid w:val="00FB3024"/>
    <w:rsid w:val="00FB420B"/>
    <w:rsid w:val="00FC1C5F"/>
    <w:rsid w:val="00FC3575"/>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107A52"/>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107A52"/>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1B57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107A52"/>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107A52"/>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1B5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3787">
      <w:bodyDiv w:val="1"/>
      <w:marLeft w:val="0"/>
      <w:marRight w:val="0"/>
      <w:marTop w:val="0"/>
      <w:marBottom w:val="0"/>
      <w:divBdr>
        <w:top w:val="none" w:sz="0" w:space="0" w:color="auto"/>
        <w:left w:val="none" w:sz="0" w:space="0" w:color="auto"/>
        <w:bottom w:val="none" w:sz="0" w:space="0" w:color="auto"/>
        <w:right w:val="none" w:sz="0" w:space="0" w:color="auto"/>
      </w:divBdr>
    </w:div>
    <w:div w:id="239871582">
      <w:bodyDiv w:val="1"/>
      <w:marLeft w:val="0"/>
      <w:marRight w:val="0"/>
      <w:marTop w:val="0"/>
      <w:marBottom w:val="0"/>
      <w:divBdr>
        <w:top w:val="none" w:sz="0" w:space="0" w:color="auto"/>
        <w:left w:val="none" w:sz="0" w:space="0" w:color="auto"/>
        <w:bottom w:val="none" w:sz="0" w:space="0" w:color="auto"/>
        <w:right w:val="none" w:sz="0" w:space="0" w:color="auto"/>
      </w:divBdr>
    </w:div>
    <w:div w:id="247464620">
      <w:bodyDiv w:val="1"/>
      <w:marLeft w:val="0"/>
      <w:marRight w:val="0"/>
      <w:marTop w:val="0"/>
      <w:marBottom w:val="0"/>
      <w:divBdr>
        <w:top w:val="none" w:sz="0" w:space="0" w:color="auto"/>
        <w:left w:val="none" w:sz="0" w:space="0" w:color="auto"/>
        <w:bottom w:val="none" w:sz="0" w:space="0" w:color="auto"/>
        <w:right w:val="none" w:sz="0" w:space="0" w:color="auto"/>
      </w:divBdr>
    </w:div>
    <w:div w:id="307712997">
      <w:bodyDiv w:val="1"/>
      <w:marLeft w:val="0"/>
      <w:marRight w:val="0"/>
      <w:marTop w:val="0"/>
      <w:marBottom w:val="0"/>
      <w:divBdr>
        <w:top w:val="none" w:sz="0" w:space="0" w:color="auto"/>
        <w:left w:val="none" w:sz="0" w:space="0" w:color="auto"/>
        <w:bottom w:val="none" w:sz="0" w:space="0" w:color="auto"/>
        <w:right w:val="none" w:sz="0" w:space="0" w:color="auto"/>
      </w:divBdr>
    </w:div>
    <w:div w:id="350836257">
      <w:bodyDiv w:val="1"/>
      <w:marLeft w:val="0"/>
      <w:marRight w:val="0"/>
      <w:marTop w:val="0"/>
      <w:marBottom w:val="0"/>
      <w:divBdr>
        <w:top w:val="none" w:sz="0" w:space="0" w:color="auto"/>
        <w:left w:val="none" w:sz="0" w:space="0" w:color="auto"/>
        <w:bottom w:val="none" w:sz="0" w:space="0" w:color="auto"/>
        <w:right w:val="none" w:sz="0" w:space="0" w:color="auto"/>
      </w:divBdr>
    </w:div>
    <w:div w:id="459999554">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20677462">
      <w:bodyDiv w:val="1"/>
      <w:marLeft w:val="0"/>
      <w:marRight w:val="0"/>
      <w:marTop w:val="0"/>
      <w:marBottom w:val="0"/>
      <w:divBdr>
        <w:top w:val="none" w:sz="0" w:space="0" w:color="auto"/>
        <w:left w:val="none" w:sz="0" w:space="0" w:color="auto"/>
        <w:bottom w:val="none" w:sz="0" w:space="0" w:color="auto"/>
        <w:right w:val="none" w:sz="0" w:space="0" w:color="auto"/>
      </w:divBdr>
    </w:div>
    <w:div w:id="1271668024">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350915231">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F8294-EAF3-4A78-BBA9-8F90A4C8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Settlement Reports - Country of birth by Migration Stream</vt:lpstr>
    </vt:vector>
  </TitlesOfParts>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Country of birth by Migration Stream</dc:title>
  <dc:creator/>
  <cp:keywords>settlement reports, reports, data, settlement information, migration stream</cp:keywords>
  <cp:lastModifiedBy/>
  <cp:revision>1</cp:revision>
  <dcterms:created xsi:type="dcterms:W3CDTF">2016-07-15T06:07:00Z</dcterms:created>
  <dcterms:modified xsi:type="dcterms:W3CDTF">2016-11-17T04:40:00Z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